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744D0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</w:t>
      </w:r>
      <w:r w:rsidR="00D723C0" w:rsidRPr="00D723C0">
        <w:rPr>
          <w:rStyle w:val="Siln"/>
        </w:rPr>
        <w:t xml:space="preserve"> „Oprava geometrických parametrů koleje 2024–2025 u ST Most“</w:t>
      </w:r>
      <w:r>
        <w:rPr>
          <w:rFonts w:eastAsia="Times New Roman" w:cs="Times New Roman"/>
          <w:lang w:eastAsia="cs-CZ"/>
        </w:rPr>
        <w:t xml:space="preserve">, </w:t>
      </w:r>
      <w:r w:rsidRPr="00D723C0">
        <w:rPr>
          <w:rFonts w:eastAsia="Times New Roman" w:cs="Times New Roman"/>
          <w:lang w:eastAsia="cs-CZ"/>
        </w:rPr>
        <w:t xml:space="preserve">č.j. </w:t>
      </w:r>
      <w:r w:rsidR="002D4391">
        <w:t>5522/2024-SŽ-OŘ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D439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D439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439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23C0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9</cp:revision>
  <cp:lastPrinted>2017-11-28T17:18:00Z</cp:lastPrinted>
  <dcterms:created xsi:type="dcterms:W3CDTF">2023-11-16T10:29:00Z</dcterms:created>
  <dcterms:modified xsi:type="dcterms:W3CDTF">2024-02-20T13:40:00Z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